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keepNext w:val="true"/>
        <w:tabs>
          <w:tab w:val="left" w:pos="432" w:leader="none"/>
        </w:tabs>
        <w:spacing w:before="120" w:after="60" w:line="240"/>
        <w:ind w:right="0" w:left="0" w:firstLine="0"/>
        <w:jc w:val="center"/>
        <w:rPr>
          <w:rFonts w:ascii="Arial" w:hAnsi="Arial" w:cs="Arial" w:eastAsia="Arial"/>
          <w:b/>
          <w:caps w:val="true"/>
          <w:color w:val="auto"/>
          <w:spacing w:val="0"/>
          <w:position w:val="0"/>
          <w:sz w:val="24"/>
          <w:u w:val="single"/>
          <w:shd w:fill="auto" w:val="clear"/>
        </w:rPr>
      </w:pPr>
      <w:r>
        <w:rPr>
          <w:rFonts w:ascii="Arial" w:hAnsi="Arial" w:cs="Arial" w:eastAsia="Arial"/>
          <w:b/>
          <w:caps w:val="true"/>
          <w:color w:val="auto"/>
          <w:spacing w:val="0"/>
          <w:position w:val="0"/>
          <w:sz w:val="24"/>
          <w:u w:val="single"/>
          <w:shd w:fill="auto" w:val="clear"/>
        </w:rPr>
        <w:t xml:space="preserve">Sozialversicherungswerte für 2018</w:t>
      </w:r>
    </w:p>
    <w:p>
      <w:pPr>
        <w:keepNext w:val="true"/>
        <w:spacing w:before="0" w:after="120" w:line="240"/>
        <w:ind w:right="0" w:left="0" w:firstLine="0"/>
        <w:jc w:val="center"/>
        <w:rPr>
          <w:rFonts w:ascii="Arial" w:hAnsi="Arial" w:cs="Arial" w:eastAsia="Arial"/>
          <w:caps w:val="true"/>
          <w:color w:val="auto"/>
          <w:spacing w:val="0"/>
          <w:position w:val="0"/>
          <w:sz w:val="24"/>
          <w:shd w:fill="auto" w:val="clear"/>
        </w:rPr>
      </w:pPr>
      <w:r>
        <w:rPr>
          <w:rFonts w:ascii="Arial" w:hAnsi="Arial" w:cs="Arial" w:eastAsia="Arial"/>
          <w:caps w:val="true"/>
          <w:color w:val="auto"/>
          <w:spacing w:val="0"/>
          <w:position w:val="0"/>
          <w:sz w:val="24"/>
          <w:shd w:fill="auto" w:val="clear"/>
        </w:rPr>
        <w:t xml:space="preserve">DIENSTNEHMER (ASVG)</w:t>
      </w: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4503"/>
        <w:gridCol w:w="1417"/>
        <w:gridCol w:w="1843"/>
        <w:gridCol w:w="1701"/>
      </w:tblGrid>
      <w:tr>
        <w:trPr>
          <w:trHeight w:val="1" w:hRule="atLeast"/>
          <w:jc w:val="left"/>
        </w:trPr>
        <w:tc>
          <w:tcPr>
            <w:tcW w:w="45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Höchstbeitragsgrundlage in €</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jährlich</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monatlich</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täglich</w:t>
            </w:r>
          </w:p>
        </w:tc>
      </w:tr>
      <w:tr>
        <w:trPr>
          <w:trHeight w:val="1" w:hRule="atLeast"/>
          <w:jc w:val="left"/>
        </w:trPr>
        <w:tc>
          <w:tcPr>
            <w:tcW w:w="45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laufende Bezüge</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76"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27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5.130,00</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459"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171,00</w:t>
            </w:r>
          </w:p>
        </w:tc>
      </w:tr>
      <w:tr>
        <w:trPr>
          <w:trHeight w:val="1" w:hRule="atLeast"/>
          <w:jc w:val="left"/>
        </w:trPr>
        <w:tc>
          <w:tcPr>
            <w:tcW w:w="45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Sonderzahlungen</w:t>
            </w:r>
            <w:r>
              <w:rPr>
                <w:rFonts w:ascii="Arial" w:hAnsi="Arial" w:cs="Arial" w:eastAsia="Arial"/>
                <w:color w:val="auto"/>
                <w:spacing w:val="0"/>
                <w:position w:val="0"/>
                <w:sz w:val="22"/>
                <w:shd w:fill="auto" w:val="clear"/>
                <w:vertAlign w:val="superscript"/>
              </w:rPr>
              <w:t xml:space="preserve">1)</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76"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10.260,00</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27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459"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r>
      <w:tr>
        <w:trPr>
          <w:trHeight w:val="1" w:hRule="atLeast"/>
          <w:jc w:val="left"/>
        </w:trPr>
        <w:tc>
          <w:tcPr>
            <w:tcW w:w="4503"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Freie Dienstnehmer ohne Sonderzahlungen</w:t>
            </w:r>
          </w:p>
        </w:tc>
        <w:tc>
          <w:tcPr>
            <w:tcW w:w="1417"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176"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c>
          <w:tcPr>
            <w:tcW w:w="1843"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27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5.985,00</w:t>
            </w:r>
          </w:p>
        </w:tc>
        <w:tc>
          <w:tcPr>
            <w:tcW w:w="1701"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459"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r>
      <w:tr>
        <w:trPr>
          <w:trHeight w:val="1" w:hRule="atLeast"/>
          <w:jc w:val="left"/>
        </w:trPr>
        <w:tc>
          <w:tcPr>
            <w:tcW w:w="45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Geringfügigkeitsgrenze</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76"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27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438,05</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69"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Grid>
        <w:gridCol w:w="4503"/>
        <w:gridCol w:w="1417"/>
        <w:gridCol w:w="1843"/>
        <w:gridCol w:w="1703"/>
      </w:tblGrid>
      <w:tr>
        <w:trPr>
          <w:trHeight w:val="1" w:hRule="atLeast"/>
          <w:jc w:val="left"/>
        </w:trPr>
        <w:tc>
          <w:tcPr>
            <w:tcW w:w="4503"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Beitragssätze je Beitragsgruppe</w:t>
            </w:r>
          </w:p>
        </w:tc>
        <w:tc>
          <w:tcPr>
            <w:tcW w:w="1417"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gesamt</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Dienstgeber-Anteil</w:t>
            </w:r>
          </w:p>
        </w:tc>
        <w:tc>
          <w:tcPr>
            <w:tcW w:w="1703" w:type="dxa"/>
            <w:tcBorders>
              <w:top w:val="single" w:color="000000" w:sz="6"/>
              <w:left w:val="single" w:color="000000" w:sz="0"/>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Dienstnehmer-Anteil</w:t>
            </w: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Arbeiter / Angestellte</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rFonts w:ascii="Calibri" w:hAnsi="Calibri" w:cs="Calibri" w:eastAsia="Calibri"/>
                <w:color w:val="auto"/>
                <w:spacing w:val="0"/>
                <w:position w:val="0"/>
                <w:sz w:val="22"/>
                <w:shd w:fill="auto" w:val="clear"/>
              </w:rPr>
            </w:pP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firstLine="176"/>
              <w:jc w:val="center"/>
              <w:rPr>
                <w:rFonts w:ascii="Calibri" w:hAnsi="Calibri" w:cs="Calibri" w:eastAsia="Calibri"/>
                <w:color w:val="auto"/>
                <w:spacing w:val="0"/>
                <w:position w:val="0"/>
                <w:sz w:val="22"/>
                <w:shd w:fill="auto" w:val="clear"/>
              </w:rPr>
            </w:pP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284"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Unfallversicherung</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1,30 %</w:t>
            </w: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130" w:left="0" w:hanging="1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1,30 % </w:t>
            </w:r>
            <w:r>
              <w:rPr>
                <w:rFonts w:ascii="Arial" w:hAnsi="Arial" w:cs="Arial" w:eastAsia="Arial"/>
                <w:color w:val="auto"/>
                <w:spacing w:val="0"/>
                <w:position w:val="0"/>
                <w:sz w:val="22"/>
                <w:shd w:fill="auto" w:val="clear"/>
                <w:vertAlign w:val="superscript"/>
              </w:rPr>
              <w:t xml:space="preserve">3)</w:t>
            </w: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284"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Krankenversicherung</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7,65 %</w:t>
            </w: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3,78 %</w:t>
            </w: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3,87 %</w:t>
            </w: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284"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Pensionsversicherung</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tabs>
                <w:tab w:val="decimal" w:pos="691" w:leader="none"/>
              </w:tabs>
              <w:spacing w:before="0" w:after="0" w:line="240"/>
              <w:ind w:right="176"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22,80 % </w:t>
            </w:r>
            <w:r>
              <w:rPr>
                <w:rFonts w:ascii="Arial" w:hAnsi="Arial" w:cs="Arial" w:eastAsia="Arial"/>
                <w:color w:val="auto"/>
                <w:spacing w:val="0"/>
                <w:position w:val="0"/>
                <w:sz w:val="22"/>
                <w:shd w:fill="auto" w:val="clear"/>
                <w:vertAlign w:val="superscript"/>
              </w:rPr>
              <w:t xml:space="preserve">6)</w:t>
            </w: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12,55 %</w:t>
            </w: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10,25 %</w:t>
            </w:r>
          </w:p>
        </w:tc>
      </w:tr>
      <w:tr>
        <w:trPr>
          <w:trHeight w:val="1" w:hRule="atLeast"/>
          <w:jc w:val="left"/>
        </w:trPr>
        <w:tc>
          <w:tcPr>
            <w:tcW w:w="4503" w:type="dxa"/>
            <w:tcBorders>
              <w:top w:val="single" w:color="000000" w:sz="0"/>
              <w:left w:val="single" w:color="000000" w:sz="6"/>
              <w:bottom w:val="single" w:color="000000" w:sz="6"/>
              <w:right w:val="single" w:color="000000" w:sz="0"/>
            </w:tcBorders>
            <w:shd w:color="000000" w:fill="ffffff" w:val="clear"/>
            <w:tcMar>
              <w:left w:w="108" w:type="dxa"/>
              <w:right w:w="108" w:type="dxa"/>
            </w:tcMar>
            <w:vAlign w:val="top"/>
          </w:tcPr>
          <w:p>
            <w:pPr>
              <w:spacing w:before="0" w:after="0" w:line="240"/>
              <w:ind w:right="0" w:left="284"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Sonstige (AV, KU, WF, IE)</w:t>
            </w:r>
          </w:p>
        </w:tc>
        <w:tc>
          <w:tcPr>
            <w:tcW w:w="1417" w:type="dxa"/>
            <w:tcBorders>
              <w:top w:val="single" w:color="000000" w:sz="0"/>
              <w:left w:val="single" w:color="000000" w:sz="6"/>
              <w:bottom w:val="single" w:color="000000" w:sz="6"/>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7,85 %</w:t>
            </w:r>
          </w:p>
        </w:tc>
        <w:tc>
          <w:tcPr>
            <w:tcW w:w="1843"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3,85 %</w:t>
            </w:r>
          </w:p>
        </w:tc>
        <w:tc>
          <w:tcPr>
            <w:tcW w:w="1703"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tabs>
                <w:tab w:val="right" w:pos="1213" w:leader="none"/>
                <w:tab w:val="left" w:pos="1355" w:leader="none"/>
                <w:tab w:val="right" w:pos="9015" w:leader="none"/>
                <w:tab w:val="right" w:pos="9072" w:leader="none"/>
              </w:tabs>
              <w:spacing w:before="0" w:after="0" w:line="240"/>
              <w:ind w:right="459"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4,00 % </w:t>
            </w:r>
            <w:r>
              <w:rPr>
                <w:rFonts w:ascii="Arial" w:hAnsi="Arial" w:cs="Arial" w:eastAsia="Arial"/>
                <w:color w:val="auto"/>
                <w:spacing w:val="0"/>
                <w:position w:val="0"/>
                <w:sz w:val="22"/>
                <w:shd w:fill="auto" w:val="clear"/>
                <w:vertAlign w:val="superscript"/>
              </w:rPr>
              <w:t xml:space="preserve">2)</w:t>
            </w:r>
          </w:p>
        </w:tc>
      </w:tr>
      <w:tr>
        <w:trPr>
          <w:trHeight w:val="1" w:hRule="atLeast"/>
          <w:jc w:val="left"/>
        </w:trPr>
        <w:tc>
          <w:tcPr>
            <w:tcW w:w="4503" w:type="dxa"/>
            <w:tcBorders>
              <w:top w:val="single" w:color="000000" w:sz="6"/>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284"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Gesamt </w:t>
            </w:r>
          </w:p>
        </w:tc>
        <w:tc>
          <w:tcPr>
            <w:tcW w:w="1417" w:type="dxa"/>
            <w:tcBorders>
              <w:top w:val="single" w:color="000000" w:sz="6"/>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39,60 %</w:t>
            </w:r>
          </w:p>
        </w:tc>
        <w:tc>
          <w:tcPr>
            <w:tcW w:w="1843" w:type="dxa"/>
            <w:tcBorders>
              <w:top w:val="single" w:color="000000" w:sz="6"/>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21,48 %</w:t>
            </w:r>
          </w:p>
        </w:tc>
        <w:tc>
          <w:tcPr>
            <w:tcW w:w="1703" w:type="dxa"/>
            <w:tcBorders>
              <w:top w:val="single" w:color="000000" w:sz="6"/>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18,12 %</w:t>
            </w:r>
          </w:p>
        </w:tc>
      </w:tr>
      <w:tr>
        <w:trPr>
          <w:trHeight w:val="1" w:hRule="atLeast"/>
          <w:jc w:val="left"/>
        </w:trPr>
        <w:tc>
          <w:tcPr>
            <w:tcW w:w="450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284"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BV-Beitrag (ohne Höchstbeitragsgrundlage)</w:t>
            </w:r>
          </w:p>
        </w:tc>
        <w:tc>
          <w:tcPr>
            <w:tcW w:w="1417" w:type="dxa"/>
            <w:tcBorders>
              <w:top w:val="single" w:color="000000" w:sz="0"/>
              <w:left w:val="single" w:color="000000" w:sz="6"/>
              <w:bottom w:val="single" w:color="000000" w:sz="4"/>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1,53 %</w:t>
            </w:r>
          </w:p>
        </w:tc>
        <w:tc>
          <w:tcPr>
            <w:tcW w:w="1843" w:type="dxa"/>
            <w:tcBorders>
              <w:top w:val="single" w:color="000000" w:sz="0"/>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1,53 %</w:t>
            </w:r>
          </w:p>
        </w:tc>
        <w:tc>
          <w:tcPr>
            <w:tcW w:w="170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Freie Dienstnehmer</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rFonts w:ascii="Calibri" w:hAnsi="Calibri" w:cs="Calibri" w:eastAsia="Calibri"/>
                <w:color w:val="auto"/>
                <w:spacing w:val="0"/>
                <w:position w:val="0"/>
                <w:sz w:val="22"/>
                <w:shd w:fill="auto" w:val="clear"/>
              </w:rPr>
            </w:pP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center"/>
              <w:rPr>
                <w:rFonts w:ascii="Calibri" w:hAnsi="Calibri" w:cs="Calibri" w:eastAsia="Calibri"/>
                <w:color w:val="auto"/>
                <w:spacing w:val="0"/>
                <w:position w:val="0"/>
                <w:sz w:val="22"/>
                <w:shd w:fill="auto" w:val="clear"/>
              </w:rPr>
            </w:pP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284"/>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Unfallversicherung</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1,30 %</w:t>
            </w: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1,30 % </w:t>
            </w:r>
            <w:r>
              <w:rPr>
                <w:rFonts w:ascii="Arial" w:hAnsi="Arial" w:cs="Arial" w:eastAsia="Arial"/>
                <w:color w:val="auto"/>
                <w:spacing w:val="0"/>
                <w:position w:val="0"/>
                <w:sz w:val="22"/>
                <w:shd w:fill="auto" w:val="clear"/>
                <w:vertAlign w:val="superscript"/>
              </w:rPr>
              <w:t xml:space="preserve">3)</w:t>
            </w: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284"/>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Krankenversicherung</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7,65 %</w:t>
            </w: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3,78 %</w:t>
            </w: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3,87 %</w:t>
            </w: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284"/>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Pensionsversicherung</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22,80 % </w:t>
            </w:r>
            <w:r>
              <w:rPr>
                <w:rFonts w:ascii="Arial" w:hAnsi="Arial" w:cs="Arial" w:eastAsia="Arial"/>
                <w:color w:val="auto"/>
                <w:spacing w:val="0"/>
                <w:position w:val="0"/>
                <w:sz w:val="22"/>
                <w:shd w:fill="auto" w:val="clear"/>
                <w:vertAlign w:val="superscript"/>
              </w:rPr>
              <w:t xml:space="preserve">6)</w:t>
            </w: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12,55 %</w:t>
            </w: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10,25 %</w:t>
            </w:r>
          </w:p>
        </w:tc>
      </w:tr>
      <w:tr>
        <w:trPr>
          <w:trHeight w:val="1" w:hRule="atLeast"/>
          <w:jc w:val="left"/>
        </w:trPr>
        <w:tc>
          <w:tcPr>
            <w:tcW w:w="4503" w:type="dxa"/>
            <w:tcBorders>
              <w:top w:val="single" w:color="000000" w:sz="0"/>
              <w:left w:val="single" w:color="000000" w:sz="6"/>
              <w:bottom w:val="single" w:color="000000" w:sz="6"/>
              <w:right w:val="single" w:color="000000" w:sz="0"/>
            </w:tcBorders>
            <w:shd w:color="000000" w:fill="ffffff" w:val="clear"/>
            <w:tcMar>
              <w:left w:w="108" w:type="dxa"/>
              <w:right w:w="108" w:type="dxa"/>
            </w:tcMar>
            <w:vAlign w:val="top"/>
          </w:tcPr>
          <w:p>
            <w:pPr>
              <w:spacing w:before="0" w:after="0" w:line="240"/>
              <w:ind w:right="0" w:left="0" w:firstLine="284"/>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Sonstige (AV, KU, WF, IE)</w:t>
            </w:r>
          </w:p>
        </w:tc>
        <w:tc>
          <w:tcPr>
            <w:tcW w:w="1417" w:type="dxa"/>
            <w:tcBorders>
              <w:top w:val="single" w:color="000000" w:sz="0"/>
              <w:left w:val="single" w:color="000000" w:sz="6"/>
              <w:bottom w:val="single" w:color="000000" w:sz="6"/>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6,85 %</w:t>
            </w:r>
          </w:p>
        </w:tc>
        <w:tc>
          <w:tcPr>
            <w:tcW w:w="1843"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3,35 %</w:t>
            </w:r>
          </w:p>
        </w:tc>
        <w:tc>
          <w:tcPr>
            <w:tcW w:w="1703"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tabs>
                <w:tab w:val="right" w:pos="1213" w:leader="none"/>
                <w:tab w:val="left" w:pos="1355" w:leader="none"/>
              </w:tabs>
              <w:spacing w:before="0" w:after="0" w:line="240"/>
              <w:ind w:right="459"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3,50 %</w:t>
            </w:r>
            <w:r>
              <w:rPr>
                <w:rFonts w:ascii="Arial" w:hAnsi="Arial" w:cs="Arial" w:eastAsia="Arial"/>
                <w:color w:val="auto"/>
                <w:spacing w:val="0"/>
                <w:position w:val="0"/>
                <w:sz w:val="22"/>
                <w:shd w:fill="auto" w:val="clear"/>
                <w:vertAlign w:val="superscript"/>
              </w:rPr>
              <w:t xml:space="preserve">2)</w:t>
            </w:r>
          </w:p>
        </w:tc>
      </w:tr>
      <w:tr>
        <w:trPr>
          <w:trHeight w:val="1" w:hRule="atLeast"/>
          <w:jc w:val="left"/>
        </w:trPr>
        <w:tc>
          <w:tcPr>
            <w:tcW w:w="4503" w:type="dxa"/>
            <w:tcBorders>
              <w:top w:val="single" w:color="000000" w:sz="6"/>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284"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Gesamt</w:t>
            </w:r>
          </w:p>
        </w:tc>
        <w:tc>
          <w:tcPr>
            <w:tcW w:w="1417" w:type="dxa"/>
            <w:tcBorders>
              <w:top w:val="single" w:color="000000" w:sz="6"/>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38,60 %</w:t>
            </w:r>
          </w:p>
        </w:tc>
        <w:tc>
          <w:tcPr>
            <w:tcW w:w="1843" w:type="dxa"/>
            <w:tcBorders>
              <w:top w:val="single" w:color="000000" w:sz="6"/>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20,98 %</w:t>
            </w:r>
          </w:p>
        </w:tc>
        <w:tc>
          <w:tcPr>
            <w:tcW w:w="1703" w:type="dxa"/>
            <w:tcBorders>
              <w:top w:val="single" w:color="000000" w:sz="6"/>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17,62 %</w:t>
            </w:r>
          </w:p>
        </w:tc>
      </w:tr>
      <w:tr>
        <w:trPr>
          <w:trHeight w:val="1" w:hRule="atLeast"/>
          <w:jc w:val="left"/>
        </w:trPr>
        <w:tc>
          <w:tcPr>
            <w:tcW w:w="450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284"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BV-Beitrag (ohne Höchstbeitragsgrundlage)</w:t>
            </w:r>
          </w:p>
        </w:tc>
        <w:tc>
          <w:tcPr>
            <w:tcW w:w="1417" w:type="dxa"/>
            <w:tcBorders>
              <w:top w:val="single" w:color="000000" w:sz="0"/>
              <w:left w:val="single" w:color="000000" w:sz="6"/>
              <w:bottom w:val="single" w:color="000000" w:sz="4"/>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1,53 %</w:t>
            </w:r>
          </w:p>
        </w:tc>
        <w:tc>
          <w:tcPr>
            <w:tcW w:w="1843" w:type="dxa"/>
            <w:tcBorders>
              <w:top w:val="single" w:color="000000" w:sz="0"/>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1,53 %</w:t>
            </w:r>
          </w:p>
        </w:tc>
        <w:tc>
          <w:tcPr>
            <w:tcW w:w="170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r>
      <w:tr>
        <w:trPr>
          <w:trHeight w:val="170" w:hRule="auto"/>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right"/>
              <w:rPr>
                <w:rFonts w:ascii="Calibri" w:hAnsi="Calibri" w:cs="Calibri" w:eastAsia="Calibri"/>
                <w:color w:val="auto"/>
                <w:spacing w:val="0"/>
                <w:position w:val="0"/>
                <w:sz w:val="22"/>
                <w:shd w:fill="auto" w:val="clear"/>
              </w:rPr>
            </w:pP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right"/>
              <w:rPr>
                <w:rFonts w:ascii="Calibri" w:hAnsi="Calibri" w:cs="Calibri" w:eastAsia="Calibri"/>
                <w:color w:val="auto"/>
                <w:spacing w:val="0"/>
                <w:position w:val="0"/>
                <w:sz w:val="22"/>
                <w:shd w:fill="auto" w:val="clear"/>
              </w:rPr>
            </w:pP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Auflösungsabgabe </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rFonts w:ascii="Calibri" w:hAnsi="Calibri" w:cs="Calibri" w:eastAsia="Calibri"/>
                <w:color w:val="auto"/>
                <w:spacing w:val="0"/>
                <w:position w:val="0"/>
                <w:sz w:val="22"/>
                <w:shd w:fill="auto" w:val="clear"/>
              </w:rPr>
            </w:pP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center"/>
              <w:rPr>
                <w:rFonts w:ascii="Calibri" w:hAnsi="Calibri" w:cs="Calibri" w:eastAsia="Calibri"/>
                <w:color w:val="auto"/>
                <w:spacing w:val="0"/>
                <w:position w:val="0"/>
                <w:sz w:val="22"/>
                <w:shd w:fill="auto" w:val="clear"/>
              </w:rPr>
            </w:pP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284"/>
              <w:jc w:val="left"/>
              <w:rPr>
                <w:color w:val="auto"/>
                <w:spacing w:val="0"/>
                <w:position w:val="0"/>
                <w:shd w:fill="auto" w:val="clear"/>
              </w:rPr>
            </w:pPr>
            <w:r>
              <w:rPr>
                <w:rFonts w:ascii="Arial" w:hAnsi="Arial" w:cs="Arial" w:eastAsia="Arial"/>
                <w:color w:val="auto"/>
                <w:spacing w:val="0"/>
                <w:position w:val="0"/>
                <w:sz w:val="18"/>
                <w:shd w:fill="auto" w:val="clear"/>
              </w:rPr>
              <w:t xml:space="preserve">bei DG-Kündigung /einvernehmlicher Auflösung</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rFonts w:ascii="Calibri" w:hAnsi="Calibri" w:cs="Calibri" w:eastAsia="Calibri"/>
                <w:color w:val="auto"/>
                <w:spacing w:val="0"/>
                <w:position w:val="0"/>
                <w:sz w:val="22"/>
                <w:shd w:fill="auto" w:val="clear"/>
              </w:rPr>
            </w:pP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128,00 €</w:t>
            </w: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r>
      <w:tr>
        <w:trPr>
          <w:trHeight w:val="80" w:hRule="auto"/>
          <w:jc w:val="left"/>
        </w:trPr>
        <w:tc>
          <w:tcPr>
            <w:tcW w:w="4503" w:type="dxa"/>
            <w:tcBorders>
              <w:top w:val="single" w:color="000000" w:sz="0"/>
              <w:left w:val="single" w:color="000000" w:sz="6"/>
              <w:bottom w:val="single" w:color="000000" w:sz="4"/>
              <w:right w:val="single" w:color="000000" w:sz="0"/>
            </w:tcBorders>
            <w:shd w:color="000000" w:fill="ffffff" w:val="clear"/>
            <w:tcMar>
              <w:left w:w="108" w:type="dxa"/>
              <w:right w:w="108" w:type="dxa"/>
            </w:tcMar>
            <w:vAlign w:val="top"/>
          </w:tcPr>
          <w:p>
            <w:pPr>
              <w:spacing w:before="0" w:after="0" w:line="240"/>
              <w:ind w:right="0" w:left="0" w:firstLine="284"/>
              <w:jc w:val="left"/>
              <w:rPr>
                <w:rFonts w:ascii="Calibri" w:hAnsi="Calibri" w:cs="Calibri" w:eastAsia="Calibri"/>
                <w:color w:val="auto"/>
                <w:spacing w:val="0"/>
                <w:position w:val="0"/>
                <w:sz w:val="22"/>
                <w:shd w:fill="auto" w:val="clear"/>
              </w:rPr>
            </w:pPr>
          </w:p>
        </w:tc>
        <w:tc>
          <w:tcPr>
            <w:tcW w:w="1417" w:type="dxa"/>
            <w:tcBorders>
              <w:top w:val="single" w:color="000000" w:sz="0"/>
              <w:left w:val="single" w:color="000000" w:sz="6"/>
              <w:bottom w:val="single" w:color="000000" w:sz="4"/>
              <w:right w:val="single" w:color="000000" w:sz="0"/>
            </w:tcBorders>
            <w:shd w:color="000000" w:fill="ffffff" w:val="clear"/>
            <w:tcMar>
              <w:left w:w="108" w:type="dxa"/>
              <w:right w:w="108" w:type="dxa"/>
            </w:tcMar>
            <w:vAlign w:val="top"/>
          </w:tcPr>
          <w:p>
            <w:pPr>
              <w:spacing w:before="0" w:after="0" w:line="240"/>
              <w:ind w:right="176" w:left="0" w:firstLine="0"/>
              <w:jc w:val="center"/>
              <w:rPr>
                <w:rFonts w:ascii="Calibri" w:hAnsi="Calibri" w:cs="Calibri" w:eastAsia="Calibri"/>
                <w:color w:val="auto"/>
                <w:spacing w:val="0"/>
                <w:position w:val="0"/>
                <w:sz w:val="22"/>
                <w:shd w:fill="auto" w:val="clear"/>
              </w:rPr>
            </w:pPr>
          </w:p>
        </w:tc>
        <w:tc>
          <w:tcPr>
            <w:tcW w:w="1843" w:type="dxa"/>
            <w:tcBorders>
              <w:top w:val="single" w:color="000000" w:sz="0"/>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272" w:left="0" w:hanging="14"/>
              <w:jc w:val="center"/>
              <w:rPr>
                <w:rFonts w:ascii="Calibri" w:hAnsi="Calibri" w:cs="Calibri" w:eastAsia="Calibri"/>
                <w:color w:val="auto"/>
                <w:spacing w:val="0"/>
                <w:position w:val="0"/>
                <w:sz w:val="22"/>
                <w:shd w:fill="auto" w:val="clear"/>
              </w:rPr>
            </w:pPr>
          </w:p>
        </w:tc>
        <w:tc>
          <w:tcPr>
            <w:tcW w:w="1703" w:type="dxa"/>
            <w:tcBorders>
              <w:top w:val="single" w:color="000000" w:sz="0"/>
              <w:left w:val="single" w:color="000000" w:sz="0"/>
              <w:bottom w:val="single" w:color="000000" w:sz="4"/>
              <w:right w:val="single" w:color="000000" w:sz="6"/>
            </w:tcBorders>
            <w:shd w:color="000000" w:fill="ffffff" w:val="clear"/>
            <w:tcMar>
              <w:left w:w="108" w:type="dxa"/>
              <w:right w:w="108" w:type="dxa"/>
            </w:tcMar>
            <w:vAlign w:val="top"/>
          </w:tcPr>
          <w:p>
            <w:pPr>
              <w:spacing w:before="0" w:after="0" w:line="240"/>
              <w:ind w:right="459"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03" w:type="dxa"/>
            <w:tcBorders>
              <w:top w:val="single" w:color="000000" w:sz="4"/>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Pensionisten</w:t>
            </w:r>
          </w:p>
        </w:tc>
        <w:tc>
          <w:tcPr>
            <w:tcW w:w="1417" w:type="dxa"/>
            <w:tcBorders>
              <w:top w:val="single" w:color="000000" w:sz="4"/>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rFonts w:ascii="Calibri" w:hAnsi="Calibri" w:cs="Calibri" w:eastAsia="Calibri"/>
                <w:color w:val="auto"/>
                <w:spacing w:val="0"/>
                <w:position w:val="0"/>
                <w:sz w:val="22"/>
                <w:shd w:fill="auto" w:val="clear"/>
              </w:rPr>
            </w:pPr>
          </w:p>
        </w:tc>
        <w:tc>
          <w:tcPr>
            <w:tcW w:w="1843" w:type="dxa"/>
            <w:tcBorders>
              <w:top w:val="single" w:color="000000" w:sz="4"/>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hanging="14"/>
              <w:jc w:val="center"/>
              <w:rPr>
                <w:rFonts w:ascii="Calibri" w:hAnsi="Calibri" w:cs="Calibri" w:eastAsia="Calibri"/>
                <w:color w:val="auto"/>
                <w:spacing w:val="0"/>
                <w:position w:val="0"/>
                <w:sz w:val="22"/>
                <w:shd w:fill="auto" w:val="clear"/>
              </w:rPr>
            </w:pPr>
          </w:p>
        </w:tc>
        <w:tc>
          <w:tcPr>
            <w:tcW w:w="1703" w:type="dxa"/>
            <w:tcBorders>
              <w:top w:val="single" w:color="000000" w:sz="4"/>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284"/>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Krankenversicherung = gesamt</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5,10 %</w:t>
            </w: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numPr>
                <w:ilvl w:val="0"/>
                <w:numId w:val="148"/>
              </w:numPr>
              <w:spacing w:before="0" w:after="0" w:line="240"/>
              <w:ind w:right="272" w:left="346" w:hanging="360"/>
              <w:jc w:val="center"/>
              <w:rPr>
                <w:rFonts w:ascii="Calibri" w:hAnsi="Calibri" w:cs="Calibri" w:eastAsia="Calibri"/>
                <w:color w:val="auto"/>
                <w:spacing w:val="0"/>
                <w:position w:val="0"/>
                <w:sz w:val="22"/>
                <w:shd w:fill="auto" w:val="clear"/>
              </w:rPr>
            </w:pP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5,10 %</w:t>
            </w:r>
          </w:p>
        </w:tc>
      </w:tr>
      <w:tr>
        <w:trPr>
          <w:trHeight w:val="1" w:hRule="atLeast"/>
          <w:jc w:val="left"/>
        </w:trPr>
        <w:tc>
          <w:tcPr>
            <w:tcW w:w="4503" w:type="dxa"/>
            <w:tcBorders>
              <w:top w:val="single" w:color="000000" w:sz="6"/>
              <w:left w:val="single" w:color="000000" w:sz="6"/>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Geringfügig Beschäftigte</w:t>
            </w:r>
          </w:p>
        </w:tc>
        <w:tc>
          <w:tcPr>
            <w:tcW w:w="1417" w:type="dxa"/>
            <w:tcBorders>
              <w:top w:val="single" w:color="000000" w:sz="6"/>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right"/>
              <w:rPr>
                <w:rFonts w:ascii="Calibri" w:hAnsi="Calibri" w:cs="Calibri" w:eastAsia="Calibri"/>
                <w:color w:val="auto"/>
                <w:spacing w:val="0"/>
                <w:position w:val="0"/>
                <w:sz w:val="22"/>
                <w:shd w:fill="auto" w:val="clear"/>
              </w:rPr>
            </w:pPr>
          </w:p>
        </w:tc>
        <w:tc>
          <w:tcPr>
            <w:tcW w:w="1843" w:type="dxa"/>
            <w:tcBorders>
              <w:top w:val="single" w:color="000000" w:sz="6"/>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bei Überschreiten der 1,5-fachen Geringfügigkeitsgrenze iHv 657,08 € </w:t>
            </w:r>
            <w:r>
              <w:rPr>
                <w:rFonts w:ascii="Arial" w:hAnsi="Arial" w:cs="Arial" w:eastAsia="Arial"/>
                <w:color w:val="auto"/>
                <w:spacing w:val="0"/>
                <w:position w:val="0"/>
                <w:sz w:val="16"/>
                <w:shd w:fill="auto" w:val="clear"/>
                <w:vertAlign w:val="superscript"/>
              </w:rPr>
              <w:t xml:space="preserve">4)</w:t>
            </w:r>
          </w:p>
        </w:tc>
        <w:tc>
          <w:tcPr>
            <w:tcW w:w="1703" w:type="dxa"/>
            <w:tcBorders>
              <w:top w:val="single" w:color="000000" w:sz="6"/>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bei Überschreiten der Geringfügigkeitsgrenze aus mehreren Dienstverhältnissen </w:t>
            </w:r>
            <w:r>
              <w:rPr>
                <w:rFonts w:ascii="Arial" w:hAnsi="Arial" w:cs="Arial" w:eastAsia="Arial"/>
                <w:color w:val="auto"/>
                <w:spacing w:val="0"/>
                <w:position w:val="0"/>
                <w:sz w:val="16"/>
                <w:shd w:fill="auto" w:val="clear"/>
                <w:vertAlign w:val="superscript"/>
              </w:rPr>
              <w:t xml:space="preserve">5)</w:t>
            </w: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284"/>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Arbeiter</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right"/>
              <w:rPr>
                <w:rFonts w:ascii="Calibri" w:hAnsi="Calibri" w:cs="Calibri" w:eastAsia="Calibri"/>
                <w:color w:val="auto"/>
                <w:spacing w:val="0"/>
                <w:position w:val="0"/>
                <w:sz w:val="22"/>
                <w:shd w:fill="auto" w:val="clear"/>
              </w:rPr>
            </w:pP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17,70 %</w:t>
            </w: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14,12 %</w:t>
            </w: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284"/>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Angestellte</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right"/>
              <w:rPr>
                <w:rFonts w:ascii="Calibri" w:hAnsi="Calibri" w:cs="Calibri" w:eastAsia="Calibri"/>
                <w:color w:val="auto"/>
                <w:spacing w:val="0"/>
                <w:position w:val="0"/>
                <w:sz w:val="22"/>
                <w:shd w:fill="auto" w:val="clear"/>
              </w:rPr>
            </w:pP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17,70 %</w:t>
            </w: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14,12 %</w:t>
            </w: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284"/>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Freie Dienstnehmer</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right"/>
              <w:rPr>
                <w:rFonts w:ascii="Calibri" w:hAnsi="Calibri" w:cs="Calibri" w:eastAsia="Calibri"/>
                <w:color w:val="auto"/>
                <w:spacing w:val="0"/>
                <w:position w:val="0"/>
                <w:sz w:val="22"/>
                <w:shd w:fill="auto" w:val="clear"/>
              </w:rPr>
            </w:pP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17,70 %</w:t>
            </w: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14,12 %</w:t>
            </w:r>
          </w:p>
        </w:tc>
      </w:tr>
      <w:tr>
        <w:trPr>
          <w:trHeight w:val="1" w:hRule="atLeast"/>
          <w:jc w:val="left"/>
        </w:trPr>
        <w:tc>
          <w:tcPr>
            <w:tcW w:w="4503"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0" w:left="0" w:firstLine="284"/>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BV-Beitrag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Abfertigung neu</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p>
        </w:tc>
        <w:tc>
          <w:tcPr>
            <w:tcW w:w="1417" w:type="dxa"/>
            <w:tcBorders>
              <w:top w:val="single" w:color="000000" w:sz="0"/>
              <w:left w:val="single" w:color="000000" w:sz="6"/>
              <w:bottom w:val="single" w:color="000000" w:sz="0"/>
              <w:right w:val="single" w:color="000000" w:sz="0"/>
            </w:tcBorders>
            <w:shd w:color="000000" w:fill="ffffff" w:val="clear"/>
            <w:tcMar>
              <w:left w:w="108" w:type="dxa"/>
              <w:right w:w="108" w:type="dxa"/>
            </w:tcMar>
            <w:vAlign w:val="top"/>
          </w:tcPr>
          <w:p>
            <w:pPr>
              <w:spacing w:before="0" w:after="0" w:line="240"/>
              <w:ind w:right="176" w:left="0" w:firstLine="0"/>
              <w:jc w:val="right"/>
              <w:rPr>
                <w:rFonts w:ascii="Calibri" w:hAnsi="Calibri" w:cs="Calibri" w:eastAsia="Calibri"/>
                <w:color w:val="auto"/>
                <w:spacing w:val="0"/>
                <w:position w:val="0"/>
                <w:sz w:val="22"/>
                <w:shd w:fill="auto" w:val="clear"/>
              </w:rPr>
            </w:pPr>
          </w:p>
        </w:tc>
        <w:tc>
          <w:tcPr>
            <w:tcW w:w="1843" w:type="dxa"/>
            <w:tcBorders>
              <w:top w:val="single" w:color="000000" w:sz="0"/>
              <w:left w:val="single" w:color="000000" w:sz="6"/>
              <w:bottom w:val="single" w:color="000000" w:sz="0"/>
              <w:right w:val="single" w:color="000000" w:sz="6"/>
            </w:tcBorders>
            <w:shd w:color="000000" w:fill="ffffff" w:val="clear"/>
            <w:tcMar>
              <w:left w:w="108" w:type="dxa"/>
              <w:right w:w="108" w:type="dxa"/>
            </w:tcMar>
            <w:vAlign w:val="top"/>
          </w:tcPr>
          <w:p>
            <w:pPr>
              <w:spacing w:before="0" w:after="0" w:line="240"/>
              <w:ind w:right="272"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1,53 %</w:t>
            </w:r>
          </w:p>
        </w:tc>
        <w:tc>
          <w:tcPr>
            <w:tcW w:w="1703" w:type="dxa"/>
            <w:tcBorders>
              <w:top w:val="single" w:color="000000" w:sz="0"/>
              <w:left w:val="single" w:color="000000" w:sz="0"/>
              <w:bottom w:val="single" w:color="000000" w:sz="0"/>
              <w:right w:val="single" w:color="000000" w:sz="6"/>
            </w:tcBorders>
            <w:shd w:color="000000" w:fill="ffffff" w:val="clear"/>
            <w:tcMar>
              <w:left w:w="108" w:type="dxa"/>
              <w:right w:w="108" w:type="dxa"/>
            </w:tcMar>
            <w:vAlign w:val="top"/>
          </w:tcPr>
          <w:p>
            <w:pPr>
              <w:spacing w:before="0" w:after="0" w:line="240"/>
              <w:ind w:right="459"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r>
      <w:tr>
        <w:trPr>
          <w:trHeight w:val="1" w:hRule="atLeast"/>
          <w:jc w:val="left"/>
        </w:trPr>
        <w:tc>
          <w:tcPr>
            <w:tcW w:w="4503" w:type="dxa"/>
            <w:tcBorders>
              <w:top w:val="single" w:color="000000" w:sz="0"/>
              <w:left w:val="single" w:color="000000" w:sz="6"/>
              <w:bottom w:val="single" w:color="000000" w:sz="6"/>
              <w:right w:val="single" w:color="000000" w:sz="0"/>
            </w:tcBorders>
            <w:shd w:color="000000" w:fill="ffffff" w:val="clear"/>
            <w:tcMar>
              <w:left w:w="108" w:type="dxa"/>
              <w:right w:w="108" w:type="dxa"/>
            </w:tcMar>
            <w:vAlign w:val="top"/>
          </w:tcPr>
          <w:p>
            <w:pPr>
              <w:spacing w:before="0" w:after="0" w:line="240"/>
              <w:ind w:right="0" w:left="0" w:firstLine="284"/>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Selbstversicherung (Opting In)</w:t>
            </w:r>
          </w:p>
        </w:tc>
        <w:tc>
          <w:tcPr>
            <w:tcW w:w="1417" w:type="dxa"/>
            <w:tcBorders>
              <w:top w:val="single" w:color="000000" w:sz="0"/>
              <w:left w:val="single" w:color="000000" w:sz="6"/>
              <w:bottom w:val="single" w:color="000000" w:sz="6"/>
              <w:right w:val="single" w:color="000000" w:sz="0"/>
            </w:tcBorders>
            <w:shd w:color="000000" w:fill="ffffff" w:val="clear"/>
            <w:tcMar>
              <w:left w:w="108" w:type="dxa"/>
              <w:right w:w="108" w:type="dxa"/>
            </w:tcMar>
            <w:vAlign w:val="top"/>
          </w:tcPr>
          <w:p>
            <w:pPr>
              <w:spacing w:before="0" w:after="0" w:line="240"/>
              <w:ind w:right="176" w:left="0" w:firstLine="0"/>
              <w:jc w:val="right"/>
              <w:rPr>
                <w:rFonts w:ascii="Calibri" w:hAnsi="Calibri" w:cs="Calibri" w:eastAsia="Calibri"/>
                <w:color w:val="auto"/>
                <w:spacing w:val="0"/>
                <w:position w:val="0"/>
                <w:sz w:val="22"/>
                <w:shd w:fill="auto" w:val="clear"/>
              </w:rPr>
            </w:pPr>
          </w:p>
        </w:tc>
        <w:tc>
          <w:tcPr>
            <w:tcW w:w="3546" w:type="dxa"/>
            <w:gridSpan w:val="2"/>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61,85 € monatlich</w:t>
            </w:r>
          </w:p>
        </w:tc>
      </w:tr>
    </w:tbl>
    <w:p>
      <w:pPr>
        <w:tabs>
          <w:tab w:val="left" w:pos="284" w:leader="none"/>
        </w:tabs>
        <w:spacing w:before="6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vertAlign w:val="superscript"/>
        </w:rPr>
        <w:t xml:space="preserve">1)</w:t>
      </w:r>
      <w:r>
        <w:rPr>
          <w:rFonts w:ascii="Arial" w:hAnsi="Arial" w:cs="Arial" w:eastAsia="Arial"/>
          <w:color w:val="auto"/>
          <w:spacing w:val="0"/>
          <w:position w:val="0"/>
          <w:sz w:val="16"/>
          <w:shd w:fill="auto" w:val="clear"/>
        </w:rPr>
        <w:tab/>
        <w:t xml:space="preserve">Für Sonderzahlungen verringern sich die Beitragssätze bei Arbeitern und Angestellten um 1 % (DN-Anteil) bzw 0,5 % (DG-Anteil), bei freien Dienstnehmern nur der DN-Anteil um 0,5 %.</w:t>
      </w:r>
    </w:p>
    <w:p>
      <w:pPr>
        <w:tabs>
          <w:tab w:val="left" w:pos="284" w:leader="none"/>
        </w:tabs>
        <w:spacing w:before="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vertAlign w:val="superscript"/>
        </w:rPr>
        <w:t xml:space="preserve">2)</w:t>
      </w:r>
      <w:r>
        <w:rPr>
          <w:rFonts w:ascii="Arial" w:hAnsi="Arial" w:cs="Arial" w:eastAsia="Arial"/>
          <w:color w:val="auto"/>
          <w:spacing w:val="0"/>
          <w:position w:val="0"/>
          <w:sz w:val="16"/>
          <w:shd w:fill="auto" w:val="clear"/>
        </w:rPr>
        <w:tab/>
        <w:t xml:space="preserve">Der 3 %ige Arbeitslosenversicherungsbeitrag (AV) beträgt für Dienstnehmer mit einem Monatsbezug bis 1.381 € Null, über 1.381 € bis 1.506 €: 1 % und über 1.506 € bis 1.696 €: 2 %.</w:t>
      </w:r>
    </w:p>
    <w:p>
      <w:pPr>
        <w:tabs>
          <w:tab w:val="left" w:pos="284" w:leader="none"/>
        </w:tabs>
        <w:spacing w:before="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vertAlign w:val="superscript"/>
        </w:rPr>
        <w:t xml:space="preserve">3)</w:t>
      </w:r>
      <w:r>
        <w:rPr>
          <w:rFonts w:ascii="Arial" w:hAnsi="Arial" w:cs="Arial" w:eastAsia="Arial"/>
          <w:color w:val="auto"/>
          <w:spacing w:val="0"/>
          <w:position w:val="0"/>
          <w:sz w:val="16"/>
          <w:shd w:fill="auto" w:val="clear"/>
        </w:rPr>
        <w:t xml:space="preserve"> </w:t>
        <w:tab/>
        <w:t xml:space="preserve">entfällt bei über 60-jährigen Beschäftigten</w:t>
      </w:r>
    </w:p>
    <w:p>
      <w:pPr>
        <w:tabs>
          <w:tab w:val="left" w:pos="284" w:leader="none"/>
        </w:tabs>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vertAlign w:val="superscript"/>
        </w:rPr>
        <w:t xml:space="preserve">4)</w:t>
      </w:r>
      <w:r>
        <w:rPr>
          <w:rFonts w:ascii="Arial" w:hAnsi="Arial" w:cs="Arial" w:eastAsia="Arial"/>
          <w:color w:val="auto"/>
          <w:spacing w:val="0"/>
          <w:position w:val="0"/>
          <w:sz w:val="16"/>
          <w:shd w:fill="auto" w:val="clear"/>
        </w:rPr>
        <w:tab/>
        <w:t xml:space="preserve">UV 1,3 % (entfällt bei über 60-jährigen geringfügig Beschäftigten) zuzügl pauschale Dienstgeberabgabe 16,4 %</w:t>
      </w:r>
    </w:p>
    <w:p>
      <w:pPr>
        <w:tabs>
          <w:tab w:val="left" w:pos="284" w:leader="none"/>
        </w:tabs>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vertAlign w:val="superscript"/>
        </w:rPr>
        <w:t xml:space="preserve">5)</w:t>
      </w:r>
      <w:r>
        <w:rPr>
          <w:rFonts w:ascii="Arial" w:hAnsi="Arial" w:cs="Arial" w:eastAsia="Arial"/>
          <w:color w:val="auto"/>
          <w:spacing w:val="0"/>
          <w:position w:val="0"/>
          <w:sz w:val="16"/>
          <w:shd w:fill="auto" w:val="clear"/>
        </w:rPr>
        <w:t xml:space="preserve"> </w:t>
        <w:tab/>
        <w:t xml:space="preserve">zuzüglich 0,5 % Arbeiterkammerumlage</w:t>
      </w:r>
    </w:p>
    <w:p>
      <w:pPr>
        <w:spacing w:before="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vertAlign w:val="superscript"/>
        </w:rPr>
        <w:t xml:space="preserve">6)  </w:t>
        <w:tab/>
      </w:r>
      <w:r>
        <w:rPr>
          <w:rFonts w:ascii="Arial" w:hAnsi="Arial" w:cs="Arial" w:eastAsia="Arial"/>
          <w:color w:val="auto"/>
          <w:spacing w:val="0"/>
          <w:position w:val="0"/>
          <w:sz w:val="16"/>
          <w:shd w:fill="auto" w:val="clear"/>
        </w:rPr>
        <w:t xml:space="preserve">Der Beitragssatz zur Pension halbiert sich für Dienstnehmer, die bereits Anspruch auf Alterspension haben, diese aber nicht beanspruchen. Die Halbierung erfolgt bei Frauen zwischen dem 60. und 63. Lj, bei Männern zwischen 65. und 68. Lj.</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p>
    <w:tbl>
      <w:tblPr/>
      <w:tblGrid>
        <w:gridCol w:w="4361"/>
        <w:gridCol w:w="1417"/>
        <w:gridCol w:w="1843"/>
        <w:gridCol w:w="1843"/>
      </w:tblGrid>
      <w:tr>
        <w:trPr>
          <w:trHeight w:val="1" w:hRule="atLeast"/>
          <w:jc w:val="left"/>
        </w:trPr>
        <w:tc>
          <w:tcPr>
            <w:tcW w:w="43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Höchstbeiträge (ohne BV-Beitrag) in €</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gesamt</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Dienstgeber</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Dienstnehmer</w:t>
            </w:r>
          </w:p>
        </w:tc>
      </w:tr>
      <w:tr>
        <w:trPr>
          <w:trHeight w:val="1" w:hRule="atLeast"/>
          <w:jc w:val="left"/>
        </w:trPr>
        <w:tc>
          <w:tcPr>
            <w:tcW w:w="43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Arbeiter/Angestellte </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3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numPr>
                <w:ilvl w:val="0"/>
                <w:numId w:val="195"/>
              </w:numPr>
              <w:spacing w:before="0" w:after="0" w:line="240"/>
              <w:ind w:right="0" w:left="346"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monatlich</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2.031,48</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1.101,92</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929,56</w:t>
            </w:r>
          </w:p>
        </w:tc>
      </w:tr>
      <w:tr>
        <w:trPr>
          <w:trHeight w:val="1" w:hRule="atLeast"/>
          <w:jc w:val="left"/>
        </w:trPr>
        <w:tc>
          <w:tcPr>
            <w:tcW w:w="43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numPr>
                <w:ilvl w:val="0"/>
                <w:numId w:val="198"/>
              </w:numPr>
              <w:spacing w:before="0" w:after="0" w:line="240"/>
              <w:ind w:right="0" w:left="346"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jährlich (inklusive Sonderzahlungen)</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28.286,82</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15.375,58</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12.911,24</w:t>
            </w:r>
          </w:p>
        </w:tc>
      </w:tr>
      <w:tr>
        <w:trPr>
          <w:trHeight w:val="1" w:hRule="atLeast"/>
          <w:jc w:val="left"/>
        </w:trPr>
        <w:tc>
          <w:tcPr>
            <w:tcW w:w="43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Freie Dienstnehmer </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43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numPr>
                <w:ilvl w:val="0"/>
                <w:numId w:val="205"/>
              </w:numPr>
              <w:spacing w:before="0" w:after="0" w:line="240"/>
              <w:ind w:right="0" w:left="346"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monatlich</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2.310,21</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1.255,65</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1.054,56</w:t>
            </w:r>
          </w:p>
        </w:tc>
      </w:tr>
      <w:tr>
        <w:trPr>
          <w:trHeight w:val="1" w:hRule="atLeast"/>
          <w:jc w:val="left"/>
        </w:trPr>
        <w:tc>
          <w:tcPr>
            <w:tcW w:w="43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numPr>
                <w:ilvl w:val="0"/>
                <w:numId w:val="208"/>
              </w:numPr>
              <w:spacing w:before="0" w:after="0" w:line="240"/>
              <w:ind w:right="0" w:left="346"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jährlich (ohne Sonderzahlungen)</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27.722,52</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15.067,80</w:t>
            </w:r>
          </w:p>
        </w:tc>
        <w:tc>
          <w:tcPr>
            <w:tcW w:w="18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12.654,72</w:t>
            </w:r>
          </w:p>
        </w:tc>
      </w:tr>
    </w:tbl>
    <w:p>
      <w:pPr>
        <w:keepNext w:val="true"/>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keepNext w:val="true"/>
        <w:spacing w:before="0" w:after="0" w:line="240"/>
        <w:ind w:right="0" w:left="0" w:firstLine="0"/>
        <w:jc w:val="center"/>
        <w:rPr>
          <w:rFonts w:ascii="Arial" w:hAnsi="Arial" w:cs="Arial" w:eastAsia="Arial"/>
          <w:b/>
          <w:caps w:val="true"/>
          <w:color w:val="auto"/>
          <w:spacing w:val="0"/>
          <w:position w:val="0"/>
          <w:sz w:val="24"/>
          <w:shd w:fill="auto" w:val="clear"/>
        </w:rPr>
      </w:pPr>
      <w:r>
        <w:rPr>
          <w:rFonts w:ascii="Arial" w:hAnsi="Arial" w:cs="Arial" w:eastAsia="Arial"/>
          <w:b/>
          <w:caps w:val="true"/>
          <w:color w:val="auto"/>
          <w:spacing w:val="0"/>
          <w:position w:val="0"/>
          <w:sz w:val="24"/>
          <w:shd w:fill="auto" w:val="clear"/>
        </w:rPr>
        <w:t xml:space="preserve">Sozialversicherungswerte für 2018</w:t>
      </w:r>
    </w:p>
    <w:p>
      <w:pPr>
        <w:keepNext w:val="true"/>
        <w:spacing w:before="0" w:after="120" w:line="240"/>
        <w:ind w:right="0" w:left="0" w:firstLine="0"/>
        <w:jc w:val="center"/>
        <w:rPr>
          <w:rFonts w:ascii="Arial" w:hAnsi="Arial" w:cs="Arial" w:eastAsia="Arial"/>
          <w:caps w:val="true"/>
          <w:color w:val="auto"/>
          <w:spacing w:val="0"/>
          <w:position w:val="0"/>
          <w:sz w:val="24"/>
          <w:shd w:fill="auto" w:val="clear"/>
        </w:rPr>
      </w:pPr>
      <w:r>
        <w:rPr>
          <w:rFonts w:ascii="Arial" w:hAnsi="Arial" w:cs="Arial" w:eastAsia="Arial"/>
          <w:caps w:val="true"/>
          <w:color w:val="auto"/>
          <w:spacing w:val="0"/>
          <w:position w:val="0"/>
          <w:sz w:val="24"/>
          <w:shd w:fill="auto" w:val="clear"/>
        </w:rPr>
        <w:t xml:space="preserve">Gewerbetreibende / sonstige Selbständige (GSVG / FSVG)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510"/>
        <w:gridCol w:w="1488"/>
        <w:gridCol w:w="1489"/>
        <w:gridCol w:w="1488"/>
        <w:gridCol w:w="1489"/>
      </w:tblGrid>
      <w:tr>
        <w:trPr>
          <w:trHeight w:val="1" w:hRule="atLeast"/>
          <w:jc w:val="left"/>
          <w:cantSplit w:val="1"/>
        </w:trPr>
        <w:tc>
          <w:tcPr>
            <w:tcW w:w="3510" w:type="dxa"/>
            <w:vMerge w:val="restart"/>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Mindest- und Höchstbeitragsgrundlagen in €</w:t>
            </w:r>
          </w:p>
        </w:tc>
        <w:tc>
          <w:tcPr>
            <w:tcW w:w="2977"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108"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vorläufige und endgültige Mindestbeitragsgrundlage </w:t>
            </w:r>
          </w:p>
        </w:tc>
        <w:tc>
          <w:tcPr>
            <w:tcW w:w="2977"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82"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vorläufige und endgültige</w:t>
            </w:r>
          </w:p>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Höchstbeitragsgrundlage</w:t>
            </w:r>
          </w:p>
        </w:tc>
      </w:tr>
      <w:tr>
        <w:trPr>
          <w:trHeight w:val="1" w:hRule="atLeast"/>
          <w:jc w:val="left"/>
        </w:trPr>
        <w:tc>
          <w:tcPr>
            <w:tcW w:w="3510" w:type="dxa"/>
            <w:vMerge/>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41" w:left="0" w:firstLine="0"/>
              <w:jc w:val="center"/>
              <w:rPr>
                <w:rFonts w:ascii="Calibri" w:hAnsi="Calibri" w:cs="Calibri" w:eastAsia="Calibri"/>
                <w:color w:val="auto"/>
                <w:spacing w:val="0"/>
                <w:position w:val="0"/>
                <w:sz w:val="22"/>
                <w:shd w:fill="auto" w:val="clear"/>
              </w:rPr>
            </w:pP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monatlich</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jährlich</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monatlich</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jährlich</w:t>
            </w: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Gewerbetreibende</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Neuzugänger im 1. bis 2. Jahr - KV </w:t>
            </w:r>
            <w:r>
              <w:rPr>
                <w:rFonts w:ascii="Arial" w:hAnsi="Arial" w:cs="Arial" w:eastAsia="Arial"/>
                <w:color w:val="auto"/>
                <w:spacing w:val="0"/>
                <w:position w:val="0"/>
                <w:sz w:val="22"/>
                <w:shd w:fill="auto" w:val="clear"/>
                <w:vertAlign w:val="superscript"/>
              </w:rPr>
              <w:t xml:space="preserve">1)</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026"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438,05</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5.256,60 </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vertAlign w:val="superscript"/>
              </w:rPr>
              <w:t xml:space="preserve">---------</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vertAlign w:val="superscript"/>
              </w:rPr>
              <w:t xml:space="preserve">-----------</w:t>
            </w: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Neuzugänger im 1. bis 2. Jahr - PV</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026"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654,25</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7.851,00</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5.985,00</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71.820,00</w:t>
            </w: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ab dem 3. Jahr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in der KV</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026"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438,05</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5.256,60 </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5.985,00</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71.820,00</w:t>
            </w: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ab dem 3. Jahr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in der PV</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026"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654,25</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7.851,00</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5.985,00</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71.820,00</w:t>
            </w: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Sonstige Selbständige</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02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mit</w:t>
            </w:r>
            <w:r>
              <w:rPr>
                <w:rFonts w:ascii="Arial" w:hAnsi="Arial" w:cs="Arial" w:eastAsia="Arial"/>
                <w:color w:val="auto"/>
                <w:spacing w:val="0"/>
                <w:position w:val="0"/>
                <w:sz w:val="22"/>
                <w:shd w:fill="auto" w:val="clear"/>
              </w:rPr>
              <w:t xml:space="preserve"> oder </w:t>
            </w:r>
            <w:r>
              <w:rPr>
                <w:rFonts w:ascii="Arial" w:hAnsi="Arial" w:cs="Arial" w:eastAsia="Arial"/>
                <w:b/>
                <w:color w:val="auto"/>
                <w:spacing w:val="0"/>
                <w:position w:val="0"/>
                <w:sz w:val="22"/>
                <w:shd w:fill="auto" w:val="clear"/>
              </w:rPr>
              <w:t xml:space="preserve">ohne</w:t>
            </w:r>
            <w:r>
              <w:rPr>
                <w:rFonts w:ascii="Arial" w:hAnsi="Arial" w:cs="Arial" w:eastAsia="Arial"/>
                <w:color w:val="auto"/>
                <w:spacing w:val="0"/>
                <w:position w:val="0"/>
                <w:sz w:val="22"/>
                <w:shd w:fill="auto" w:val="clear"/>
              </w:rPr>
              <w:t xml:space="preserve"> andere Einkünften </w:t>
            </w:r>
            <w:r>
              <w:rPr>
                <w:rFonts w:ascii="Arial" w:hAnsi="Arial" w:cs="Arial" w:eastAsia="Arial"/>
                <w:color w:val="auto"/>
                <w:spacing w:val="0"/>
                <w:position w:val="0"/>
                <w:sz w:val="22"/>
                <w:shd w:fill="auto" w:val="clear"/>
                <w:vertAlign w:val="superscript"/>
              </w:rPr>
              <w:t xml:space="preserve">2)</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026"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438,05</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5.256,60</w:t>
            </w:r>
          </w:p>
        </w:tc>
        <w:tc>
          <w:tcPr>
            <w:tcW w:w="148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5.985,00</w:t>
            </w:r>
          </w:p>
        </w:tc>
        <w:tc>
          <w:tcPr>
            <w:tcW w:w="148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71.820,00</w:t>
            </w:r>
          </w:p>
        </w:tc>
      </w:tr>
    </w:tbl>
    <w:p>
      <w:pPr>
        <w:numPr>
          <w:ilvl w:val="0"/>
          <w:numId w:val="252"/>
        </w:numPr>
        <w:spacing w:before="6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Wenn innerhalb der letzten 120 Kalendermonate keine Kranken- bzw Pensionsversicherung in der GSVG bestanden hat, bleibt die Beitragsgrundlage iHv 438,05 € pm fix, dh es erfolgt keine Nachbemessung.</w:t>
      </w:r>
    </w:p>
    <w:p>
      <w:pPr>
        <w:numPr>
          <w:ilvl w:val="0"/>
          <w:numId w:val="252"/>
        </w:numPr>
        <w:spacing w:before="0" w:after="6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Die große Versicherungsgrenze, wenn keine Nebentätigkeit ausgeübt wird, entfällt ab 2016.</w:t>
      </w:r>
    </w:p>
    <w:p>
      <w:pPr>
        <w:spacing w:before="0" w:after="60" w:line="240"/>
        <w:ind w:right="0" w:left="0" w:firstLine="0"/>
        <w:jc w:val="left"/>
        <w:rPr>
          <w:rFonts w:ascii="Arial" w:hAnsi="Arial" w:cs="Arial" w:eastAsia="Arial"/>
          <w:color w:val="auto"/>
          <w:spacing w:val="0"/>
          <w:position w:val="0"/>
          <w:sz w:val="16"/>
          <w:shd w:fill="auto" w:val="clear"/>
        </w:rPr>
      </w:pPr>
    </w:p>
    <w:tbl>
      <w:tblPr/>
      <w:tblGrid>
        <w:gridCol w:w="3510"/>
        <w:gridCol w:w="5954"/>
      </w:tblGrid>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Berechnung der vorläufigen monatlichen Beitragsgrundlage:</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(bis zum Vorliegen des Steuerbescheides für 2018): </w:t>
            </w:r>
          </w:p>
          <w:p>
            <w:pPr>
              <w:spacing w:before="0" w:after="0" w:line="240"/>
              <w:ind w:right="0" w:left="0" w:firstLine="0"/>
              <w:jc w:val="left"/>
              <w:rPr>
                <w:color w:val="auto"/>
                <w:spacing w:val="0"/>
                <w:position w:val="0"/>
                <w:sz w:val="22"/>
                <w:shd w:fill="auto" w:val="clear"/>
              </w:rPr>
            </w:pP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Einkünfte aus versicherungspflichtiger Tätigkeit lt</w:t>
              <w:br/>
              <w:t xml:space="preserve">Steuerbescheid 2015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 in 2015 vorgeschriebene KV- und PV-Beiträge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Summe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x 1,079 (Inflationsbereinigung)</w:t>
            </w:r>
          </w:p>
          <w:p>
            <w:pPr>
              <w:spacing w:before="0" w:after="0" w:line="240"/>
              <w:ind w:right="0" w:left="34"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Anzahl der Pflichtversicherungsmonate </w:t>
            </w:r>
          </w:p>
        </w:tc>
      </w:tr>
    </w:tbl>
    <w:p>
      <w:pPr>
        <w:spacing w:before="0" w:after="0" w:line="240"/>
        <w:ind w:right="0" w:left="0" w:firstLine="0"/>
        <w:jc w:val="left"/>
        <w:rPr>
          <w:rFonts w:ascii="Arial" w:hAnsi="Arial" w:cs="Arial" w:eastAsia="Arial"/>
          <w:color w:val="auto"/>
          <w:spacing w:val="0"/>
          <w:position w:val="0"/>
          <w:sz w:val="22"/>
          <w:shd w:fill="auto" w:val="clear"/>
        </w:rPr>
      </w:pPr>
    </w:p>
    <w:tbl>
      <w:tblPr/>
      <w:tblGrid>
        <w:gridCol w:w="3510"/>
        <w:gridCol w:w="2977"/>
        <w:gridCol w:w="1418"/>
        <w:gridCol w:w="1559"/>
      </w:tblGrid>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Beitragssätze</w:t>
            </w:r>
          </w:p>
        </w:tc>
        <w:tc>
          <w:tcPr>
            <w:tcW w:w="297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Gewerbetreibende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FSVG</w:t>
            </w:r>
          </w:p>
          <w:p>
            <w:pPr>
              <w:spacing w:before="0" w:after="0" w:line="240"/>
              <w:ind w:right="0" w:left="0" w:firstLine="0"/>
              <w:jc w:val="center"/>
              <w:rPr>
                <w:color w:val="auto"/>
                <w:spacing w:val="0"/>
                <w:position w:val="0"/>
                <w:sz w:val="22"/>
                <w:shd w:fill="auto" w:val="clear"/>
              </w:rPr>
            </w:pPr>
          </w:p>
        </w:tc>
        <w:tc>
          <w:tcPr>
            <w:tcW w:w="15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Sonstige Selbständige</w:t>
            </w: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Unfallversicherung pro Monat</w:t>
            </w:r>
          </w:p>
        </w:tc>
        <w:tc>
          <w:tcPr>
            <w:tcW w:w="297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0" w:after="0" w:line="240"/>
              <w:ind w:right="884"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9,60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0" w:after="0" w:line="240"/>
              <w:ind w:right="176"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9,60 €</w:t>
            </w:r>
          </w:p>
        </w:tc>
        <w:tc>
          <w:tcPr>
            <w:tcW w:w="15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bottom"/>
          </w:tcPr>
          <w:p>
            <w:pPr>
              <w:spacing w:before="0" w:after="0" w:line="240"/>
              <w:ind w:right="317"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9,60 €</w:t>
            </w: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Krankenversicherung</w:t>
            </w:r>
          </w:p>
        </w:tc>
        <w:tc>
          <w:tcPr>
            <w:tcW w:w="297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884"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                    7,65 %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76"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w:t>
            </w:r>
          </w:p>
        </w:tc>
        <w:tc>
          <w:tcPr>
            <w:tcW w:w="15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317"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  7,65 %</w:t>
            </w: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Pensionsversicherung</w:t>
            </w:r>
          </w:p>
        </w:tc>
        <w:tc>
          <w:tcPr>
            <w:tcW w:w="297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884"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18,50 % </w:t>
            </w:r>
            <w:r>
              <w:rPr>
                <w:rFonts w:ascii="Arial" w:hAnsi="Arial" w:cs="Arial" w:eastAsia="Arial"/>
                <w:color w:val="auto"/>
                <w:spacing w:val="0"/>
                <w:position w:val="0"/>
                <w:sz w:val="22"/>
                <w:shd w:fill="auto" w:val="clear"/>
                <w:vertAlign w:val="superscript"/>
              </w:rPr>
              <w:t xml:space="preserve">3)</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76"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20,0 %</w:t>
            </w:r>
          </w:p>
        </w:tc>
        <w:tc>
          <w:tcPr>
            <w:tcW w:w="15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317"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  18,50 %</w:t>
            </w:r>
          </w:p>
        </w:tc>
      </w:tr>
      <w:tr>
        <w:trPr>
          <w:trHeight w:val="1" w:hRule="atLeast"/>
          <w:jc w:val="left"/>
        </w:trPr>
        <w:tc>
          <w:tcPr>
            <w:tcW w:w="3510"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Gesamt</w:t>
            </w:r>
          </w:p>
        </w:tc>
        <w:tc>
          <w:tcPr>
            <w:tcW w:w="2977"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884"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26,15 %</w:t>
            </w:r>
          </w:p>
        </w:tc>
        <w:tc>
          <w:tcPr>
            <w:tcW w:w="1418"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176"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20,0 %</w:t>
            </w:r>
          </w:p>
        </w:tc>
        <w:tc>
          <w:tcPr>
            <w:tcW w:w="1559" w:type="dxa"/>
            <w:tcBorders>
              <w:top w:val="single" w:color="000000" w:sz="6"/>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317"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26,15 %</w:t>
            </w:r>
          </w:p>
        </w:tc>
      </w:tr>
      <w:tr>
        <w:trPr>
          <w:trHeight w:val="1" w:hRule="atLeast"/>
          <w:jc w:val="left"/>
        </w:trPr>
        <w:tc>
          <w:tcPr>
            <w:tcW w:w="3510"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BV-Beitrag </w:t>
            </w:r>
            <w:r>
              <w:rPr>
                <w:rFonts w:ascii="Arial" w:hAnsi="Arial" w:cs="Arial" w:eastAsia="Arial"/>
                <w:color w:val="auto"/>
                <w:spacing w:val="0"/>
                <w:position w:val="0"/>
                <w:sz w:val="22"/>
                <w:shd w:fill="auto" w:val="clear"/>
              </w:rPr>
              <w:t xml:space="preserve">(bis Beitragsgrundlage)</w:t>
            </w:r>
          </w:p>
        </w:tc>
        <w:tc>
          <w:tcPr>
            <w:tcW w:w="2977"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884"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1,53 %</w:t>
            </w:r>
          </w:p>
        </w:tc>
        <w:tc>
          <w:tcPr>
            <w:tcW w:w="1418"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freiwillig</w:t>
            </w:r>
          </w:p>
        </w:tc>
        <w:tc>
          <w:tcPr>
            <w:tcW w:w="1559" w:type="dxa"/>
            <w:tcBorders>
              <w:top w:val="single" w:color="000000" w:sz="4"/>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317" w:left="0" w:firstLine="0"/>
              <w:jc w:val="right"/>
              <w:rPr>
                <w:color w:val="auto"/>
                <w:spacing w:val="0"/>
                <w:position w:val="0"/>
                <w:sz w:val="22"/>
                <w:shd w:fill="auto" w:val="clear"/>
              </w:rPr>
            </w:pPr>
            <w:r>
              <w:rPr>
                <w:rFonts w:ascii="Arial" w:hAnsi="Arial" w:cs="Arial" w:eastAsia="Arial"/>
                <w:b/>
                <w:color w:val="auto"/>
                <w:spacing w:val="0"/>
                <w:position w:val="0"/>
                <w:sz w:val="22"/>
                <w:shd w:fill="auto" w:val="clear"/>
              </w:rPr>
              <w:t xml:space="preserve">1,53 %</w:t>
            </w:r>
          </w:p>
        </w:tc>
      </w:tr>
    </w:tbl>
    <w:p>
      <w:pPr>
        <w:numPr>
          <w:ilvl w:val="0"/>
          <w:numId w:val="293"/>
        </w:numPr>
        <w:spacing w:before="0" w:after="0" w:line="240"/>
        <w:ind w:right="0" w:left="360" w:hanging="36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Der Beitragssatz zur Pension halbiert sich für Personen, die bereits Anspruch auf Alterspension haben, diese aber nicht beanspruchen. Die Halbierung erfolgt bei Frauen zwischen dem 60. und 63. Lj, bei Männern zwischen 65. und 68. Lj.</w:t>
      </w:r>
    </w:p>
    <w:p>
      <w:pPr>
        <w:spacing w:before="0" w:after="0" w:line="240"/>
        <w:ind w:right="0" w:left="0" w:firstLine="0"/>
        <w:jc w:val="left"/>
        <w:rPr>
          <w:rFonts w:ascii="Arial" w:hAnsi="Arial" w:cs="Arial" w:eastAsia="Arial"/>
          <w:color w:val="auto"/>
          <w:spacing w:val="0"/>
          <w:position w:val="0"/>
          <w:sz w:val="16"/>
          <w:shd w:fill="auto" w:val="clear"/>
        </w:rPr>
      </w:pPr>
    </w:p>
    <w:tbl>
      <w:tblPr/>
      <w:tblGrid>
        <w:gridCol w:w="3510"/>
        <w:gridCol w:w="1560"/>
        <w:gridCol w:w="1417"/>
        <w:gridCol w:w="1382"/>
        <w:gridCol w:w="1595"/>
      </w:tblGrid>
      <w:tr>
        <w:trPr>
          <w:trHeight w:val="1" w:hRule="atLeast"/>
          <w:jc w:val="left"/>
          <w:cantSplit w:val="1"/>
        </w:trPr>
        <w:tc>
          <w:tcPr>
            <w:tcW w:w="3510" w:type="dxa"/>
            <w:vMerge w:val="restart"/>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Mindest- und Höchstbeiträge in Absolutbeträgen (inkl UV)</w:t>
            </w:r>
          </w:p>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in € (ohne BV-Beitrag)</w:t>
            </w:r>
          </w:p>
        </w:tc>
        <w:tc>
          <w:tcPr>
            <w:tcW w:w="2977"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08"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vorläufige</w:t>
            </w:r>
          </w:p>
          <w:p>
            <w:pPr>
              <w:spacing w:before="0" w:after="0" w:line="240"/>
              <w:ind w:right="0" w:left="-108"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Mindestbeiträge</w:t>
            </w:r>
          </w:p>
        </w:tc>
        <w:tc>
          <w:tcPr>
            <w:tcW w:w="2977"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82"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vorläufige und endgültige</w:t>
            </w:r>
          </w:p>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Höchstbeiträge</w:t>
            </w:r>
          </w:p>
        </w:tc>
      </w:tr>
      <w:tr>
        <w:trPr>
          <w:trHeight w:val="1" w:hRule="atLeast"/>
          <w:jc w:val="left"/>
        </w:trPr>
        <w:tc>
          <w:tcPr>
            <w:tcW w:w="3510" w:type="dxa"/>
            <w:vMerge/>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41" w:left="0" w:firstLine="0"/>
              <w:jc w:val="center"/>
              <w:rPr>
                <w:rFonts w:ascii="Calibri" w:hAnsi="Calibri" w:cs="Calibri" w:eastAsia="Calibri"/>
                <w:color w:val="auto"/>
                <w:spacing w:val="0"/>
                <w:position w:val="0"/>
                <w:sz w:val="22"/>
                <w:shd w:fill="auto" w:val="clear"/>
              </w:rPr>
            </w:pPr>
          </w:p>
        </w:tc>
        <w:tc>
          <w:tcPr>
            <w:tcW w:w="15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monatlich</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jährlich</w:t>
            </w:r>
          </w:p>
        </w:tc>
        <w:tc>
          <w:tcPr>
            <w:tcW w:w="138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monatlich</w:t>
            </w:r>
          </w:p>
        </w:tc>
        <w:tc>
          <w:tcPr>
            <w:tcW w:w="15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jährlich</w:t>
            </w: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Gewerbetreibende</w:t>
            </w:r>
          </w:p>
        </w:tc>
        <w:tc>
          <w:tcPr>
            <w:tcW w:w="15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8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Neuzugänger im 1. und 2. Jahr </w:t>
            </w:r>
            <w:r>
              <w:rPr>
                <w:rFonts w:ascii="Arial" w:hAnsi="Arial" w:cs="Arial" w:eastAsia="Arial"/>
                <w:color w:val="auto"/>
                <w:spacing w:val="0"/>
                <w:position w:val="0"/>
                <w:sz w:val="22"/>
                <w:shd w:fill="auto" w:val="clear"/>
                <w:vertAlign w:val="superscript"/>
              </w:rPr>
              <w:t xml:space="preserve">1)</w:t>
            </w:r>
          </w:p>
        </w:tc>
        <w:tc>
          <w:tcPr>
            <w:tcW w:w="15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318"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164,15</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75"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1.969,80</w:t>
            </w:r>
          </w:p>
        </w:tc>
        <w:tc>
          <w:tcPr>
            <w:tcW w:w="138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4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1.150,34</w:t>
            </w:r>
          </w:p>
        </w:tc>
        <w:tc>
          <w:tcPr>
            <w:tcW w:w="15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right" w:pos="1062" w:leader="none"/>
                <w:tab w:val="right" w:pos="1379" w:leader="none"/>
              </w:tabs>
              <w:spacing w:before="0" w:after="0" w:line="240"/>
              <w:ind w:right="317"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13.804,08</w:t>
            </w: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ab dem 3. Jahr</w:t>
            </w:r>
          </w:p>
        </w:tc>
        <w:tc>
          <w:tcPr>
            <w:tcW w:w="15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318"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164,15</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75"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1.969,80</w:t>
            </w:r>
          </w:p>
        </w:tc>
        <w:tc>
          <w:tcPr>
            <w:tcW w:w="138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4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1.574,68</w:t>
            </w:r>
          </w:p>
        </w:tc>
        <w:tc>
          <w:tcPr>
            <w:tcW w:w="15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right" w:pos="1062" w:leader="none"/>
              </w:tabs>
              <w:spacing w:before="0" w:after="0" w:line="240"/>
              <w:ind w:right="317"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18.896,16</w:t>
            </w: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Sonstige Selbständige</w:t>
            </w:r>
          </w:p>
        </w:tc>
        <w:tc>
          <w:tcPr>
            <w:tcW w:w="15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318" w:left="0" w:firstLine="0"/>
              <w:jc w:val="right"/>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75" w:left="0" w:firstLine="0"/>
              <w:jc w:val="right"/>
              <w:rPr>
                <w:rFonts w:ascii="Calibri" w:hAnsi="Calibri" w:cs="Calibri" w:eastAsia="Calibri"/>
                <w:color w:val="auto"/>
                <w:spacing w:val="0"/>
                <w:position w:val="0"/>
                <w:sz w:val="22"/>
                <w:shd w:fill="auto" w:val="clear"/>
              </w:rPr>
            </w:pPr>
          </w:p>
        </w:tc>
        <w:tc>
          <w:tcPr>
            <w:tcW w:w="138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40" w:left="0" w:firstLine="0"/>
              <w:jc w:val="right"/>
              <w:rPr>
                <w:rFonts w:ascii="Calibri" w:hAnsi="Calibri" w:cs="Calibri" w:eastAsia="Calibri"/>
                <w:color w:val="auto"/>
                <w:spacing w:val="0"/>
                <w:position w:val="0"/>
                <w:sz w:val="22"/>
                <w:shd w:fill="auto" w:val="clear"/>
              </w:rPr>
            </w:pPr>
          </w:p>
        </w:tc>
        <w:tc>
          <w:tcPr>
            <w:tcW w:w="15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right" w:pos="1062" w:leader="none"/>
              </w:tabs>
              <w:spacing w:before="0" w:after="0" w:line="240"/>
              <w:ind w:right="317"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5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mit</w:t>
            </w:r>
            <w:r>
              <w:rPr>
                <w:rFonts w:ascii="Arial" w:hAnsi="Arial" w:cs="Arial" w:eastAsia="Arial"/>
                <w:color w:val="auto"/>
                <w:spacing w:val="0"/>
                <w:position w:val="0"/>
                <w:sz w:val="22"/>
                <w:shd w:fill="auto" w:val="clear"/>
              </w:rPr>
              <w:t xml:space="preserve"> oder ohne andere Einkünfte</w:t>
            </w:r>
          </w:p>
        </w:tc>
        <w:tc>
          <w:tcPr>
            <w:tcW w:w="15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318"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124,15</w:t>
            </w:r>
          </w:p>
        </w:tc>
        <w:tc>
          <w:tcPr>
            <w:tcW w:w="14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75"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1.489,80</w:t>
            </w:r>
          </w:p>
        </w:tc>
        <w:tc>
          <w:tcPr>
            <w:tcW w:w="138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140"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1.574,68</w:t>
            </w:r>
          </w:p>
        </w:tc>
        <w:tc>
          <w:tcPr>
            <w:tcW w:w="159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right" w:pos="1062" w:leader="none"/>
              </w:tabs>
              <w:spacing w:before="0" w:after="0" w:line="240"/>
              <w:ind w:right="317" w:left="0" w:firstLine="0"/>
              <w:jc w:val="right"/>
              <w:rPr>
                <w:color w:val="auto"/>
                <w:spacing w:val="0"/>
                <w:position w:val="0"/>
                <w:sz w:val="22"/>
                <w:shd w:fill="auto" w:val="clear"/>
              </w:rPr>
            </w:pPr>
            <w:r>
              <w:rPr>
                <w:rFonts w:ascii="Arial" w:hAnsi="Arial" w:cs="Arial" w:eastAsia="Arial"/>
                <w:color w:val="auto"/>
                <w:spacing w:val="0"/>
                <w:position w:val="0"/>
                <w:sz w:val="22"/>
                <w:shd w:fill="auto" w:val="clear"/>
              </w:rPr>
              <w:t xml:space="preserve">18.896,16</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keepNext w:val="true"/>
        <w:spacing w:before="0" w:after="120" w:line="240"/>
        <w:ind w:right="0" w:left="0" w:firstLine="0"/>
        <w:jc w:val="center"/>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Kammerumlage 2 </w:t>
      </w:r>
      <w:r>
        <w:rPr>
          <w:rFonts w:ascii="Arial" w:hAnsi="Arial" w:cs="Arial" w:eastAsia="Arial"/>
          <w:b/>
          <w:caps w:val="true"/>
          <w:color w:val="auto"/>
          <w:spacing w:val="0"/>
          <w:position w:val="0"/>
          <w:sz w:val="22"/>
          <w:shd w:fill="auto" w:val="clear"/>
        </w:rPr>
        <w:t xml:space="preserve">–</w:t>
      </w:r>
      <w:r>
        <w:rPr>
          <w:rFonts w:ascii="Arial" w:hAnsi="Arial" w:cs="Arial" w:eastAsia="Arial"/>
          <w:b/>
          <w:caps w:val="true"/>
          <w:color w:val="auto"/>
          <w:spacing w:val="0"/>
          <w:position w:val="0"/>
          <w:sz w:val="22"/>
          <w:shd w:fill="auto" w:val="clear"/>
        </w:rPr>
        <w:t xml:space="preserve"> Zuschlag zum Dienstgeberbeitrag</w:t>
      </w:r>
    </w:p>
    <w:tbl>
      <w:tblPr/>
      <w:tblGrid>
        <w:gridCol w:w="1384"/>
        <w:gridCol w:w="1229"/>
        <w:gridCol w:w="977"/>
        <w:gridCol w:w="1020"/>
        <w:gridCol w:w="992"/>
        <w:gridCol w:w="851"/>
        <w:gridCol w:w="897"/>
        <w:gridCol w:w="1127"/>
        <w:gridCol w:w="987"/>
      </w:tblGrid>
      <w:tr>
        <w:trPr>
          <w:trHeight w:val="1" w:hRule="atLeast"/>
          <w:jc w:val="left"/>
        </w:trPr>
        <w:tc>
          <w:tcPr>
            <w:tcW w:w="1384"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Steiermark</w:t>
            </w:r>
          </w:p>
        </w:tc>
        <w:tc>
          <w:tcPr>
            <w:tcW w:w="1229"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Burgenland</w:t>
            </w:r>
          </w:p>
        </w:tc>
        <w:tc>
          <w:tcPr>
            <w:tcW w:w="977"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Salzburg</w:t>
            </w:r>
          </w:p>
        </w:tc>
        <w:tc>
          <w:tcPr>
            <w:tcW w:w="1020"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Tirol</w:t>
            </w:r>
          </w:p>
        </w:tc>
        <w:tc>
          <w:tcPr>
            <w:tcW w:w="992"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NÖ</w:t>
            </w:r>
          </w:p>
        </w:tc>
        <w:tc>
          <w:tcPr>
            <w:tcW w:w="851"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Wien</w:t>
            </w:r>
          </w:p>
        </w:tc>
        <w:tc>
          <w:tcPr>
            <w:tcW w:w="897"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Kärnten</w:t>
            </w:r>
          </w:p>
        </w:tc>
        <w:tc>
          <w:tcPr>
            <w:tcW w:w="1127"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Vorarlberg</w:t>
            </w:r>
          </w:p>
        </w:tc>
        <w:tc>
          <w:tcPr>
            <w:tcW w:w="987"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OÖ</w:t>
            </w:r>
          </w:p>
        </w:tc>
      </w:tr>
      <w:tr>
        <w:trPr>
          <w:trHeight w:val="1" w:hRule="atLeast"/>
          <w:jc w:val="left"/>
        </w:trPr>
        <w:tc>
          <w:tcPr>
            <w:tcW w:w="1384"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0,39 %</w:t>
            </w:r>
          </w:p>
        </w:tc>
        <w:tc>
          <w:tcPr>
            <w:tcW w:w="1229"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0,44 %</w:t>
            </w:r>
          </w:p>
        </w:tc>
        <w:tc>
          <w:tcPr>
            <w:tcW w:w="977"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0,42 %</w:t>
            </w:r>
          </w:p>
        </w:tc>
        <w:tc>
          <w:tcPr>
            <w:tcW w:w="1020"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0,43 %</w:t>
            </w:r>
          </w:p>
        </w:tc>
        <w:tc>
          <w:tcPr>
            <w:tcW w:w="992"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0,40 %</w:t>
            </w:r>
          </w:p>
        </w:tc>
        <w:tc>
          <w:tcPr>
            <w:tcW w:w="851"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0,40 %</w:t>
            </w:r>
          </w:p>
        </w:tc>
        <w:tc>
          <w:tcPr>
            <w:tcW w:w="897"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0,41 %</w:t>
            </w:r>
          </w:p>
        </w:tc>
        <w:tc>
          <w:tcPr>
            <w:tcW w:w="1127"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0,39 %</w:t>
            </w:r>
          </w:p>
        </w:tc>
        <w:tc>
          <w:tcPr>
            <w:tcW w:w="987"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0,36 %</w:t>
            </w:r>
          </w:p>
        </w:tc>
      </w:tr>
    </w:tbl>
    <w:p>
      <w:pPr>
        <w:keepNext w:val="true"/>
        <w:spacing w:before="0" w:after="60" w:line="240"/>
        <w:ind w:right="0" w:left="0" w:firstLine="0"/>
        <w:jc w:val="left"/>
        <w:rPr>
          <w:rFonts w:ascii="Arial" w:hAnsi="Arial" w:cs="Arial" w:eastAsia="Arial"/>
          <w:b/>
          <w:caps w:val="true"/>
          <w:color w:val="auto"/>
          <w:spacing w:val="0"/>
          <w:position w:val="0"/>
          <w:sz w:val="22"/>
          <w:shd w:fill="auto" w:val="clear"/>
        </w:rPr>
      </w:pPr>
    </w:p>
    <w:p>
      <w:pPr>
        <w:keepNext w:val="true"/>
        <w:spacing w:before="240" w:after="60" w:line="240"/>
        <w:ind w:right="0" w:left="0" w:firstLine="0"/>
        <w:jc w:val="center"/>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ausgleichstaxe 2018</w:t>
      </w:r>
    </w:p>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Dienstgeber sind nach dem Behinderteneinstellungsgesetz verpflichtet, auf je 25 Dienstnehmer mindestens einen begünstigten Behinderten einzustellen oder eine Ausgleichstaxe zu bezahlen. Diese beträgt für jeden begünstigten Behinderten, der zu beschäftigen wäre: </w:t>
      </w:r>
    </w:p>
    <w:tbl>
      <w:tblPr/>
      <w:tblGrid>
        <w:gridCol w:w="1809"/>
        <w:gridCol w:w="2552"/>
        <w:gridCol w:w="2551"/>
        <w:gridCol w:w="2410"/>
      </w:tblGrid>
      <w:tr>
        <w:trPr>
          <w:trHeight w:val="1" w:hRule="atLeast"/>
          <w:jc w:val="left"/>
        </w:trPr>
        <w:tc>
          <w:tcPr>
            <w:tcW w:w="1809"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bei</w:t>
            </w:r>
          </w:p>
        </w:tc>
        <w:tc>
          <w:tcPr>
            <w:tcW w:w="2552"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25 bis 99 Dienstnehmer</w:t>
            </w:r>
          </w:p>
        </w:tc>
        <w:tc>
          <w:tcPr>
            <w:tcW w:w="2551"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100 bis 399 Dienstnehmer</w:t>
            </w:r>
          </w:p>
        </w:tc>
        <w:tc>
          <w:tcPr>
            <w:tcW w:w="2410" w:type="dxa"/>
            <w:tcBorders>
              <w:top w:val="single" w:color="f79646" w:sz="8"/>
              <w:left w:val="single" w:color="f79646" w:sz="8"/>
              <w:bottom w:val="single" w:color="f79646" w:sz="18"/>
              <w:right w:val="single" w:color="f79646"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ab 400 Dienstnehmer</w:t>
            </w:r>
          </w:p>
        </w:tc>
      </w:tr>
      <w:tr>
        <w:trPr>
          <w:trHeight w:val="1" w:hRule="atLeast"/>
          <w:jc w:val="left"/>
        </w:trPr>
        <w:tc>
          <w:tcPr>
            <w:tcW w:w="1809"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pm / pro 25 DN</w:t>
            </w:r>
          </w:p>
        </w:tc>
        <w:tc>
          <w:tcPr>
            <w:tcW w:w="2552"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257 €</w:t>
            </w:r>
          </w:p>
        </w:tc>
        <w:tc>
          <w:tcPr>
            <w:tcW w:w="2551"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361 €</w:t>
            </w:r>
          </w:p>
        </w:tc>
        <w:tc>
          <w:tcPr>
            <w:tcW w:w="2410" w:type="dxa"/>
            <w:tcBorders>
              <w:top w:val="single" w:color="f79646" w:sz="8"/>
              <w:left w:val="single" w:color="f79646" w:sz="8"/>
              <w:bottom w:val="single" w:color="f79646" w:sz="8"/>
              <w:right w:val="single" w:color="f79646" w:sz="8"/>
            </w:tcBorders>
            <w:shd w:color="auto" w:fill="fde4d0" w:val="clear"/>
            <w:tcMar>
              <w:left w:w="108" w:type="dxa"/>
              <w:right w:w="108" w:type="dxa"/>
            </w:tcMar>
            <w:vAlign w:val="top"/>
          </w:tcPr>
          <w:p>
            <w:pPr>
              <w:tabs>
                <w:tab w:val="left" w:pos="708" w:leader="none"/>
                <w:tab w:val="center" w:pos="4536" w:leader="none"/>
                <w:tab w:val="right" w:pos="9072"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383 €</w:t>
            </w:r>
          </w:p>
        </w:tc>
      </w:tr>
    </w:tbl>
    <w:p>
      <w:pPr>
        <w:spacing w:before="0" w:after="0" w:line="240"/>
        <w:ind w:right="0" w:left="0" w:firstLine="0"/>
        <w:jc w:val="left"/>
        <w:rPr>
          <w:rFonts w:ascii="Trebuchet MS" w:hAnsi="Trebuchet MS" w:cs="Trebuchet MS" w:eastAsia="Trebuchet MS"/>
          <w:color w:val="auto"/>
          <w:spacing w:val="0"/>
          <w:position w:val="0"/>
          <w:sz w:val="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48">
    <w:abstractNumId w:val="36"/>
  </w:num>
  <w:num w:numId="195">
    <w:abstractNumId w:val="30"/>
  </w:num>
  <w:num w:numId="198">
    <w:abstractNumId w:val="24"/>
  </w:num>
  <w:num w:numId="205">
    <w:abstractNumId w:val="18"/>
  </w:num>
  <w:num w:numId="208">
    <w:abstractNumId w:val="12"/>
  </w:num>
  <w:num w:numId="252">
    <w:abstractNumId w:val="6"/>
  </w:num>
  <w:num w:numId="29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